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1FAAC" w14:textId="5116103C" w:rsidR="00A41902" w:rsidRPr="00016749" w:rsidRDefault="00A41902" w:rsidP="00491057">
      <w:pPr>
        <w:ind w:left="360"/>
        <w:rPr>
          <w:rFonts w:ascii="Arial" w:hAnsi="Arial" w:cs="Arial"/>
          <w:b/>
          <w:bCs/>
          <w:sz w:val="16"/>
          <w:szCs w:val="16"/>
        </w:rPr>
      </w:pPr>
      <w:r w:rsidRPr="00016749">
        <w:rPr>
          <w:rFonts w:ascii="Arial" w:hAnsi="Arial" w:cs="Arial"/>
          <w:b/>
          <w:bCs/>
          <w:sz w:val="16"/>
          <w:szCs w:val="16"/>
        </w:rPr>
        <w:t xml:space="preserve">Anlage </w:t>
      </w:r>
      <w:r w:rsidR="00995FB5">
        <w:rPr>
          <w:rFonts w:ascii="Arial" w:hAnsi="Arial" w:cs="Arial"/>
          <w:b/>
          <w:bCs/>
          <w:sz w:val="16"/>
          <w:szCs w:val="16"/>
        </w:rPr>
        <w:t>216</w:t>
      </w:r>
      <w:r w:rsidRPr="00016749">
        <w:rPr>
          <w:rFonts w:ascii="Arial" w:hAnsi="Arial" w:cs="Arial"/>
          <w:b/>
          <w:bCs/>
          <w:sz w:val="16"/>
          <w:szCs w:val="16"/>
        </w:rPr>
        <w:t xml:space="preserve"> – </w:t>
      </w:r>
    </w:p>
    <w:p w14:paraId="3AA9DBFB" w14:textId="6D05C98C" w:rsidR="00A41902" w:rsidRPr="00016749" w:rsidRDefault="00A41902" w:rsidP="00491057">
      <w:pPr>
        <w:ind w:left="360"/>
        <w:rPr>
          <w:rFonts w:ascii="Arial" w:hAnsi="Arial" w:cs="Arial"/>
          <w:b/>
          <w:bCs/>
          <w:sz w:val="16"/>
          <w:szCs w:val="16"/>
        </w:rPr>
      </w:pPr>
      <w:r w:rsidRPr="00016749">
        <w:rPr>
          <w:rFonts w:ascii="Arial" w:hAnsi="Arial" w:cs="Arial"/>
          <w:b/>
          <w:bCs/>
          <w:sz w:val="16"/>
          <w:szCs w:val="16"/>
        </w:rPr>
        <w:t xml:space="preserve">Eigenerklärung Lieferkettensorgfaltspflichtengesetz </w:t>
      </w:r>
    </w:p>
    <w:p w14:paraId="1354D77F" w14:textId="77777777" w:rsidR="00A41902" w:rsidRDefault="00A41902" w:rsidP="00491057">
      <w:pPr>
        <w:ind w:left="360"/>
        <w:rPr>
          <w:rFonts w:ascii="Arial" w:hAnsi="Arial" w:cs="Arial"/>
        </w:rPr>
      </w:pPr>
    </w:p>
    <w:p w14:paraId="2771FEEA" w14:textId="03209084" w:rsidR="00A41902" w:rsidRDefault="00A41902" w:rsidP="00491057">
      <w:pPr>
        <w:ind w:left="360"/>
        <w:rPr>
          <w:rFonts w:ascii="Arial" w:hAnsi="Arial" w:cs="Arial"/>
          <w:b/>
          <w:bCs/>
          <w:sz w:val="24"/>
          <w:u w:val="single"/>
        </w:rPr>
      </w:pPr>
      <w:r w:rsidRPr="00016749">
        <w:rPr>
          <w:rFonts w:ascii="Arial" w:hAnsi="Arial" w:cs="Arial"/>
          <w:b/>
          <w:bCs/>
          <w:sz w:val="24"/>
          <w:u w:val="single"/>
        </w:rPr>
        <w:t>Eigenerklärung bezüglich § 22 Lieferkettensorgfaltspflichtengesetz</w:t>
      </w:r>
    </w:p>
    <w:p w14:paraId="1EE39FAF" w14:textId="77777777" w:rsidR="00A41902" w:rsidRPr="00016749" w:rsidRDefault="00A41902" w:rsidP="00491057">
      <w:pPr>
        <w:ind w:left="360"/>
        <w:rPr>
          <w:rFonts w:ascii="Arial" w:hAnsi="Arial" w:cs="Arial"/>
          <w:b/>
          <w:bCs/>
          <w:sz w:val="24"/>
          <w:u w:val="single"/>
        </w:rPr>
      </w:pPr>
    </w:p>
    <w:p w14:paraId="6CD1EDAC" w14:textId="77777777" w:rsidR="00A41902" w:rsidRDefault="00A41902" w:rsidP="00491057">
      <w:pPr>
        <w:ind w:left="360"/>
        <w:rPr>
          <w:rFonts w:ascii="Arial" w:hAnsi="Arial" w:cs="Arial"/>
        </w:rPr>
      </w:pPr>
      <w:r w:rsidRPr="00016749">
        <w:rPr>
          <w:rFonts w:ascii="Arial" w:hAnsi="Arial" w:cs="Arial"/>
        </w:rPr>
        <w:t xml:space="preserve">Ich / Wir erkläre(n), dass ich / wir meine(n)/unsere(n) Hauptverwaltung, Hauptniederlassung, Verwaltungssitz oder satzungsmäßigen Sitz im Inland haben und in der Regel mindestens 1.000 Arbeitnehmer im Inland beschäftigen, wobei ins Ausland entsandte Arbeitnehmer nicht erfasst sind. </w:t>
      </w:r>
    </w:p>
    <w:p w14:paraId="505ECC53" w14:textId="735CE146" w:rsidR="00A41902" w:rsidRDefault="00A41902" w:rsidP="00A41902">
      <w:pPr>
        <w:pStyle w:val="Listenabsatz"/>
        <w:numPr>
          <w:ilvl w:val="0"/>
          <w:numId w:val="4"/>
        </w:numPr>
      </w:pPr>
      <w:r>
        <w:t>Ja</w:t>
      </w:r>
    </w:p>
    <w:p w14:paraId="08A70BC5" w14:textId="7FA33AE9" w:rsidR="00A41902" w:rsidRDefault="00A41902" w:rsidP="00A41902">
      <w:pPr>
        <w:pStyle w:val="Listenabsatz"/>
        <w:numPr>
          <w:ilvl w:val="0"/>
          <w:numId w:val="4"/>
        </w:numPr>
      </w:pPr>
      <w:r>
        <w:t>Nein</w:t>
      </w:r>
    </w:p>
    <w:p w14:paraId="44AC9BFA" w14:textId="77777777" w:rsidR="00A41902" w:rsidRDefault="00A41902" w:rsidP="00A41902">
      <w:pPr>
        <w:ind w:left="360"/>
        <w:rPr>
          <w:rFonts w:ascii="Arial" w:hAnsi="Arial" w:cs="Arial"/>
        </w:rPr>
      </w:pPr>
      <w:r w:rsidRPr="00016749">
        <w:rPr>
          <w:rFonts w:ascii="Arial" w:hAnsi="Arial" w:cs="Arial"/>
        </w:rPr>
        <w:t xml:space="preserve">Sofern „Nein“ erklärt wird, sind keine weiteren Angaben erforderlich. </w:t>
      </w:r>
    </w:p>
    <w:p w14:paraId="71C653BD" w14:textId="77777777" w:rsidR="00A41902" w:rsidRDefault="00A41902" w:rsidP="00A41902">
      <w:pPr>
        <w:ind w:left="360"/>
        <w:rPr>
          <w:rFonts w:ascii="Arial" w:hAnsi="Arial" w:cs="Arial"/>
        </w:rPr>
      </w:pPr>
    </w:p>
    <w:p w14:paraId="4A8039C5" w14:textId="77777777" w:rsidR="00061C0F" w:rsidRDefault="00A41902" w:rsidP="00A41902">
      <w:pPr>
        <w:ind w:left="360"/>
        <w:rPr>
          <w:rFonts w:ascii="Arial" w:hAnsi="Arial" w:cs="Arial"/>
        </w:rPr>
      </w:pPr>
      <w:r w:rsidRPr="00016749">
        <w:rPr>
          <w:rFonts w:ascii="Arial" w:hAnsi="Arial" w:cs="Arial"/>
        </w:rPr>
        <w:t xml:space="preserve">Ich / Wir erkläre(n), dass die Voraussetzungen für einen Ausschluss nach § 22 in Verbindung mit § 24 </w:t>
      </w:r>
      <w:proofErr w:type="spellStart"/>
      <w:r w:rsidRPr="00016749">
        <w:rPr>
          <w:rFonts w:ascii="Arial" w:hAnsi="Arial" w:cs="Arial"/>
        </w:rPr>
        <w:t>LkSG</w:t>
      </w:r>
      <w:proofErr w:type="spellEnd"/>
      <w:r w:rsidRPr="00016749">
        <w:rPr>
          <w:rFonts w:ascii="Arial" w:hAnsi="Arial" w:cs="Arial"/>
        </w:rPr>
        <w:t xml:space="preserve"> bei mir / bei uns nicht vorliegen. </w:t>
      </w:r>
    </w:p>
    <w:p w14:paraId="047BAEEC" w14:textId="77777777" w:rsidR="00061C0F" w:rsidRDefault="00061C0F" w:rsidP="00061C0F">
      <w:pPr>
        <w:pStyle w:val="Listenabsatz"/>
        <w:numPr>
          <w:ilvl w:val="0"/>
          <w:numId w:val="4"/>
        </w:numPr>
      </w:pPr>
      <w:r>
        <w:t>Ja</w:t>
      </w:r>
    </w:p>
    <w:p w14:paraId="17F253CD" w14:textId="77777777" w:rsidR="00061C0F" w:rsidRDefault="00061C0F" w:rsidP="00061C0F">
      <w:pPr>
        <w:pStyle w:val="Listenabsatz"/>
        <w:numPr>
          <w:ilvl w:val="0"/>
          <w:numId w:val="4"/>
        </w:numPr>
      </w:pPr>
      <w:r>
        <w:t>Nein</w:t>
      </w:r>
    </w:p>
    <w:p w14:paraId="0C91E4E6" w14:textId="69EF60AC" w:rsidR="00061C0F" w:rsidRDefault="00061C0F" w:rsidP="00061C0F">
      <w:pPr>
        <w:pStyle w:val="Listenabsatz"/>
        <w:numPr>
          <w:ilvl w:val="0"/>
          <w:numId w:val="4"/>
        </w:numPr>
      </w:pPr>
      <w:r w:rsidRPr="00C82EC8">
        <w:rPr>
          <w:rFonts w:ascii="Arial" w:hAnsi="Arial" w:cs="Arial"/>
        </w:rPr>
        <w:t>Falls Nein: Nachweise der Selbstreinigung gemäß § 125 GWB liegen bei.</w:t>
      </w:r>
    </w:p>
    <w:p w14:paraId="16353E05" w14:textId="77777777" w:rsidR="00061C0F" w:rsidRDefault="00061C0F" w:rsidP="00A41902">
      <w:pPr>
        <w:ind w:left="360"/>
        <w:rPr>
          <w:rFonts w:ascii="Arial" w:hAnsi="Arial" w:cs="Arial"/>
        </w:rPr>
      </w:pPr>
    </w:p>
    <w:p w14:paraId="6B2078EC" w14:textId="77777777" w:rsidR="00061C0F" w:rsidRPr="00016749" w:rsidRDefault="00A41902" w:rsidP="00A41902">
      <w:pPr>
        <w:ind w:left="360"/>
        <w:rPr>
          <w:rFonts w:ascii="Arial" w:hAnsi="Arial" w:cs="Arial"/>
          <w:b/>
          <w:bCs/>
        </w:rPr>
      </w:pPr>
      <w:r w:rsidRPr="00016749">
        <w:rPr>
          <w:rFonts w:ascii="Arial" w:hAnsi="Arial" w:cs="Arial"/>
          <w:b/>
          <w:bCs/>
        </w:rPr>
        <w:t xml:space="preserve">§ 22 </w:t>
      </w:r>
      <w:proofErr w:type="spellStart"/>
      <w:r w:rsidRPr="00016749">
        <w:rPr>
          <w:rFonts w:ascii="Arial" w:hAnsi="Arial" w:cs="Arial"/>
          <w:b/>
          <w:bCs/>
        </w:rPr>
        <w:t>LkSG</w:t>
      </w:r>
      <w:proofErr w:type="spellEnd"/>
      <w:r w:rsidRPr="00016749">
        <w:rPr>
          <w:rFonts w:ascii="Arial" w:hAnsi="Arial" w:cs="Arial"/>
          <w:b/>
          <w:bCs/>
        </w:rPr>
        <w:t xml:space="preserve"> – Ausschluss von der Vergabe öffentlicher Aufträge </w:t>
      </w:r>
    </w:p>
    <w:p w14:paraId="04A4EFE6" w14:textId="77777777" w:rsidR="00061C0F" w:rsidRDefault="00061C0F" w:rsidP="00A41902">
      <w:pPr>
        <w:ind w:left="360"/>
        <w:rPr>
          <w:rFonts w:ascii="Arial" w:hAnsi="Arial" w:cs="Arial"/>
        </w:rPr>
      </w:pPr>
    </w:p>
    <w:p w14:paraId="5390AB18" w14:textId="77777777" w:rsidR="00061C0F" w:rsidRDefault="00A41902" w:rsidP="00A41902">
      <w:pPr>
        <w:ind w:left="360"/>
        <w:rPr>
          <w:rFonts w:ascii="Arial" w:hAnsi="Arial" w:cs="Arial"/>
        </w:rPr>
      </w:pPr>
      <w:r w:rsidRPr="00016749">
        <w:rPr>
          <w:rFonts w:ascii="Arial" w:hAnsi="Arial" w:cs="Arial"/>
        </w:rPr>
        <w:t xml:space="preserve">(1)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 </w:t>
      </w:r>
    </w:p>
    <w:p w14:paraId="24E8E7E6" w14:textId="77777777" w:rsidR="00061C0F" w:rsidRDefault="00A41902" w:rsidP="00A41902">
      <w:pPr>
        <w:ind w:left="360"/>
        <w:rPr>
          <w:rFonts w:ascii="Arial" w:hAnsi="Arial" w:cs="Arial"/>
        </w:rPr>
      </w:pPr>
      <w:r w:rsidRPr="00016749">
        <w:rPr>
          <w:rFonts w:ascii="Arial" w:hAnsi="Arial" w:cs="Arial"/>
        </w:rPr>
        <w:t xml:space="preserve">(2) Ein Ausschluss nach Absatz 1 setzt einen rechtskräftig festgestellten Verstoß mit einer Geldbuße von wenigstens einhundertfünfundsiebzigtausend Euro voraus. Abweichend von Satz 1 wird </w:t>
      </w:r>
    </w:p>
    <w:p w14:paraId="5606AEDF" w14:textId="41810723" w:rsidR="00061C0F" w:rsidRPr="00016749" w:rsidRDefault="00A41902" w:rsidP="00016749">
      <w:pPr>
        <w:pStyle w:val="Listenabsatz"/>
        <w:numPr>
          <w:ilvl w:val="0"/>
          <w:numId w:val="7"/>
        </w:numPr>
        <w:rPr>
          <w:rFonts w:ascii="Arial" w:hAnsi="Arial" w:cs="Arial"/>
        </w:rPr>
      </w:pPr>
      <w:r w:rsidRPr="00016749">
        <w:rPr>
          <w:rFonts w:ascii="Arial" w:hAnsi="Arial" w:cs="Arial"/>
        </w:rPr>
        <w:t xml:space="preserve">in den Fällen des § 24 Absatz 2 Satz 2 in Verbindung mit § 24 Absatz 2 Satz 1 Nummer 2 ein rechtskräftig festgestellter Verstoß mit einer Geldbuße von wenigstens eine Million fünfhunderttausend Euro, </w:t>
      </w:r>
    </w:p>
    <w:p w14:paraId="0D70E26E" w14:textId="34D6E9A1" w:rsidR="00061C0F" w:rsidRPr="00016749" w:rsidRDefault="00A41902" w:rsidP="00016749">
      <w:pPr>
        <w:pStyle w:val="Listenabsatz"/>
        <w:numPr>
          <w:ilvl w:val="0"/>
          <w:numId w:val="7"/>
        </w:numPr>
        <w:rPr>
          <w:rFonts w:ascii="Arial" w:hAnsi="Arial" w:cs="Arial"/>
        </w:rPr>
      </w:pPr>
      <w:r w:rsidRPr="00016749">
        <w:rPr>
          <w:rFonts w:ascii="Arial" w:hAnsi="Arial" w:cs="Arial"/>
        </w:rPr>
        <w:t xml:space="preserve">in den Fällen des § 24 Absatz 2 Satz 2 in Verbindung mit § 24 Absatz 2 Satz 1 Nummer 1 ein rechtskräftig festgestellter Verstoß mit einer Geldbuße von wenigstens zwei Millionen Euro und 1 Anlage 12 – Eigenerklärung Lieferkettensorgfaltspflichtengesetz 2 </w:t>
      </w:r>
    </w:p>
    <w:p w14:paraId="73B5EDDE" w14:textId="20E62B83" w:rsidR="00061C0F" w:rsidRPr="00016749" w:rsidRDefault="00A41902" w:rsidP="00016749">
      <w:pPr>
        <w:pStyle w:val="Listenabsatz"/>
        <w:numPr>
          <w:ilvl w:val="0"/>
          <w:numId w:val="7"/>
        </w:numPr>
        <w:rPr>
          <w:rFonts w:ascii="Arial" w:hAnsi="Arial" w:cs="Arial"/>
        </w:rPr>
      </w:pPr>
      <w:r w:rsidRPr="00016749">
        <w:rPr>
          <w:rFonts w:ascii="Arial" w:hAnsi="Arial" w:cs="Arial"/>
        </w:rPr>
        <w:t xml:space="preserve">in den Fällen des § 24 Absatz 3 ein rechtskräftig festgestellter Verstoß mit einer Geldbuße von wenigstens 0,35 Prozent des durchschnittlichen Jahresumsatzes vorausgesetzt. </w:t>
      </w:r>
    </w:p>
    <w:p w14:paraId="27974CE5" w14:textId="77777777" w:rsidR="00061C0F" w:rsidRDefault="00A41902" w:rsidP="00A41902">
      <w:pPr>
        <w:ind w:left="360"/>
        <w:rPr>
          <w:rFonts w:ascii="Arial" w:hAnsi="Arial" w:cs="Arial"/>
        </w:rPr>
      </w:pPr>
      <w:r w:rsidRPr="00016749">
        <w:rPr>
          <w:rFonts w:ascii="Arial" w:hAnsi="Arial" w:cs="Arial"/>
        </w:rPr>
        <w:t xml:space="preserve">(3) Vor der Entscheidung über den Ausschluss ist der Bewerber zu hören. </w:t>
      </w:r>
    </w:p>
    <w:p w14:paraId="68333C90" w14:textId="77777777" w:rsidR="00061C0F" w:rsidRDefault="00061C0F" w:rsidP="00A41902">
      <w:pPr>
        <w:ind w:left="360"/>
        <w:rPr>
          <w:rFonts w:ascii="Arial" w:hAnsi="Arial" w:cs="Arial"/>
        </w:rPr>
      </w:pPr>
    </w:p>
    <w:p w14:paraId="20D32BFA" w14:textId="77777777" w:rsidR="00061C0F" w:rsidRPr="00016749" w:rsidRDefault="00A41902" w:rsidP="00A41902">
      <w:pPr>
        <w:ind w:left="360"/>
        <w:rPr>
          <w:rFonts w:ascii="Arial" w:hAnsi="Arial" w:cs="Arial"/>
          <w:b/>
          <w:bCs/>
        </w:rPr>
      </w:pPr>
      <w:r w:rsidRPr="00016749">
        <w:rPr>
          <w:rFonts w:ascii="Arial" w:hAnsi="Arial" w:cs="Arial"/>
          <w:b/>
          <w:bCs/>
        </w:rPr>
        <w:lastRenderedPageBreak/>
        <w:t xml:space="preserve">§ 24 – Bußgeldvorschriften </w:t>
      </w:r>
    </w:p>
    <w:p w14:paraId="22D92400" w14:textId="77777777" w:rsidR="00061C0F" w:rsidRDefault="00A41902" w:rsidP="00A41902">
      <w:pPr>
        <w:ind w:left="360"/>
        <w:rPr>
          <w:rFonts w:ascii="Arial" w:hAnsi="Arial" w:cs="Arial"/>
        </w:rPr>
      </w:pPr>
      <w:r w:rsidRPr="00016749">
        <w:rPr>
          <w:rFonts w:ascii="Arial" w:hAnsi="Arial" w:cs="Arial"/>
        </w:rPr>
        <w:t xml:space="preserve">(1) Ordnungswidrig handelt, wer vorsätzlich oder fahrlässig </w:t>
      </w:r>
    </w:p>
    <w:p w14:paraId="395141A9" w14:textId="49954FB0"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4 Absatz 3 Satz 1 nicht dafür sorgt, dass eine dort genannte Festlegung getroffen ist, </w:t>
      </w:r>
    </w:p>
    <w:p w14:paraId="107AE996" w14:textId="5F3C5FC7"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5 Absatz 1 Satz 1 oder § 9 Absatz 3 Nummer 1 eine Risikoanalyse nicht, nicht richtig, nicht vollständig oder nicht rechtzeitig durchführt, </w:t>
      </w:r>
    </w:p>
    <w:p w14:paraId="59E22137" w14:textId="738AC1E2"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6 Absatz 1 eine Präventionsmaßnahme nicht oder nicht rechtzeitig ergreift, </w:t>
      </w:r>
    </w:p>
    <w:p w14:paraId="53C076D5" w14:textId="363999F7"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6 Absatz 5 Satz 1, § 7 Absatz 4 Satz 1 oder § 8 Absatz 5 Satz 1 eine Überprüfung nicht oder nicht rechtzeitig vornimmt, </w:t>
      </w:r>
    </w:p>
    <w:p w14:paraId="6FEC22DE" w14:textId="73B232BF"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6 Absatz 5 Satz 3, § 7 Absatz 4 Satz 3 oder § 8 Absatz 5 Satz 2 eine Maßnahme nicht oder nicht rechtzeitig aktualisiert, </w:t>
      </w:r>
    </w:p>
    <w:p w14:paraId="20A79A86" w14:textId="026F2527"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7 Absatz 1 Satz 1 eine Abhilfemaßnahme nicht oder nicht rechtzeitig ergreift, </w:t>
      </w:r>
    </w:p>
    <w:p w14:paraId="0BD3CFE1" w14:textId="66939487"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a) § 7 Absatz 2 Satz 1 oder b) § 9 Absatz 3 Nummer 3 ein Konzept nicht oder nicht rechtzeitig erstellt oder nicht oder nicht rechtzeitig umsetzt, </w:t>
      </w:r>
    </w:p>
    <w:p w14:paraId="3ED3138F" w14:textId="334DEF9E"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8 Absatz 1 Satz 1, auch in Verbindung mit § 9 Absatz 1, nicht dafür sorgt, dass ein Beschwerdeverfahren eingerichtet ist, </w:t>
      </w:r>
    </w:p>
    <w:p w14:paraId="41C36E8B" w14:textId="271F3B62"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10 Absatz 1 Satz 2 eine Dokumentation nicht oder nicht mindestens sieben Jahre aufbewahrt, </w:t>
      </w:r>
    </w:p>
    <w:p w14:paraId="216F6254" w14:textId="2C899BFB"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10 Absatz 2 Satz 1 einen Bericht nicht richtig erstellt, </w:t>
      </w:r>
    </w:p>
    <w:p w14:paraId="6692447A" w14:textId="6AE5C921"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10 Absatz 2 Satz 1 einen dort genannten Bericht nicht oder nicht rechtzeitig öffentlich zugänglich macht, </w:t>
      </w:r>
    </w:p>
    <w:p w14:paraId="1EB1D1F0" w14:textId="56D84E54"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entgegen § 12 einen Bericht nicht oder nicht rechtzeitig einreicht oder </w:t>
      </w:r>
    </w:p>
    <w:p w14:paraId="2445F5FC" w14:textId="2CEFD7C4" w:rsidR="00061C0F" w:rsidRPr="00016749" w:rsidRDefault="00A41902" w:rsidP="00016749">
      <w:pPr>
        <w:pStyle w:val="Listenabsatz"/>
        <w:numPr>
          <w:ilvl w:val="0"/>
          <w:numId w:val="9"/>
        </w:numPr>
        <w:rPr>
          <w:rFonts w:ascii="Arial" w:hAnsi="Arial" w:cs="Arial"/>
        </w:rPr>
      </w:pPr>
      <w:r w:rsidRPr="00016749">
        <w:rPr>
          <w:rFonts w:ascii="Arial" w:hAnsi="Arial" w:cs="Arial"/>
        </w:rPr>
        <w:t xml:space="preserve">einer vollziehbaren Anordnung nach § 13 Absatz 2 oder § 15 Satz 2 Nummer 2 zuwiderhandelt. </w:t>
      </w:r>
    </w:p>
    <w:p w14:paraId="4418FCA2" w14:textId="77777777" w:rsidR="00061C0F" w:rsidRDefault="00A41902" w:rsidP="00A41902">
      <w:pPr>
        <w:ind w:left="360"/>
        <w:rPr>
          <w:rFonts w:ascii="Arial" w:hAnsi="Arial" w:cs="Arial"/>
        </w:rPr>
      </w:pPr>
      <w:r w:rsidRPr="00016749">
        <w:rPr>
          <w:rFonts w:ascii="Arial" w:hAnsi="Arial" w:cs="Arial"/>
        </w:rPr>
        <w:t xml:space="preserve">(2) Die Ordnungswidrigkeit kann geahndet werden </w:t>
      </w:r>
    </w:p>
    <w:p w14:paraId="00CC46D0" w14:textId="6B5D47D9" w:rsidR="00061C0F" w:rsidRPr="00016749" w:rsidRDefault="00A41902" w:rsidP="00016749">
      <w:pPr>
        <w:pStyle w:val="Listenabsatz"/>
        <w:numPr>
          <w:ilvl w:val="0"/>
          <w:numId w:val="12"/>
        </w:numPr>
        <w:rPr>
          <w:rFonts w:ascii="Arial" w:hAnsi="Arial" w:cs="Arial"/>
        </w:rPr>
      </w:pPr>
      <w:r w:rsidRPr="00016749">
        <w:rPr>
          <w:rFonts w:ascii="Arial" w:hAnsi="Arial" w:cs="Arial"/>
        </w:rPr>
        <w:t xml:space="preserve">in den Fällen des Absatzes 1 </w:t>
      </w:r>
    </w:p>
    <w:p w14:paraId="65A2BD66" w14:textId="04DFB89F" w:rsidR="00061C0F" w:rsidRPr="00016749" w:rsidRDefault="00A41902" w:rsidP="00016749">
      <w:pPr>
        <w:pStyle w:val="Listenabsatz"/>
        <w:numPr>
          <w:ilvl w:val="1"/>
          <w:numId w:val="12"/>
        </w:numPr>
        <w:rPr>
          <w:rFonts w:ascii="Arial" w:hAnsi="Arial" w:cs="Arial"/>
        </w:rPr>
      </w:pPr>
      <w:r w:rsidRPr="00016749">
        <w:rPr>
          <w:rFonts w:ascii="Arial" w:hAnsi="Arial" w:cs="Arial"/>
        </w:rPr>
        <w:t xml:space="preserve">Nummer 3, 7 Buchstabe b und Nummer 8 </w:t>
      </w:r>
    </w:p>
    <w:p w14:paraId="7E7FF927" w14:textId="645F0C43" w:rsidR="00061C0F" w:rsidRPr="00016749" w:rsidRDefault="00A41902" w:rsidP="00016749">
      <w:pPr>
        <w:pStyle w:val="Listenabsatz"/>
        <w:numPr>
          <w:ilvl w:val="1"/>
          <w:numId w:val="12"/>
        </w:numPr>
        <w:rPr>
          <w:rFonts w:ascii="Arial" w:hAnsi="Arial" w:cs="Arial"/>
        </w:rPr>
      </w:pPr>
      <w:r w:rsidRPr="00016749">
        <w:rPr>
          <w:rFonts w:ascii="Arial" w:hAnsi="Arial" w:cs="Arial"/>
        </w:rPr>
        <w:t xml:space="preserve">Nummer 6 und 7 Buchstabe a mit einer Geldbuße bis zu achthunderttausend Euro, </w:t>
      </w:r>
    </w:p>
    <w:p w14:paraId="321A42D4" w14:textId="43F93A7E" w:rsidR="00CB614D" w:rsidRPr="00016749" w:rsidRDefault="00A41902" w:rsidP="00016749">
      <w:pPr>
        <w:pStyle w:val="Listenabsatz"/>
        <w:numPr>
          <w:ilvl w:val="0"/>
          <w:numId w:val="12"/>
        </w:numPr>
        <w:rPr>
          <w:rFonts w:ascii="Arial" w:hAnsi="Arial" w:cs="Arial"/>
        </w:rPr>
      </w:pPr>
      <w:r w:rsidRPr="00016749">
        <w:rPr>
          <w:rFonts w:ascii="Arial" w:hAnsi="Arial" w:cs="Arial"/>
        </w:rPr>
        <w:t xml:space="preserve">in den Fällen des Absatzes 1 Nummer 1, 2, 4, 5 und 13 mit einer Geldbuße bis zu fünfhunderttausend Euro und </w:t>
      </w:r>
    </w:p>
    <w:p w14:paraId="16A37A41" w14:textId="2AC534E1" w:rsidR="00CB614D" w:rsidRPr="00016749" w:rsidRDefault="00A41902" w:rsidP="00016749">
      <w:pPr>
        <w:pStyle w:val="Listenabsatz"/>
        <w:numPr>
          <w:ilvl w:val="0"/>
          <w:numId w:val="12"/>
        </w:numPr>
        <w:rPr>
          <w:rFonts w:ascii="Arial" w:hAnsi="Arial" w:cs="Arial"/>
        </w:rPr>
      </w:pPr>
      <w:r w:rsidRPr="00016749">
        <w:rPr>
          <w:rFonts w:ascii="Arial" w:hAnsi="Arial" w:cs="Arial"/>
        </w:rPr>
        <w:t xml:space="preserve">in den übrigen Fällen des Absatzes 1 mit einer Geldbuße bis zu hunderttausend Euro. In den Fällen des Satzes 1 Nummer 1 und 2 ist § 30 Absatz 2 Satz 3 des Gesetzes über Ordnungswidrigkeiten anzuwenden. </w:t>
      </w:r>
    </w:p>
    <w:p w14:paraId="4EED3AD8" w14:textId="77777777" w:rsidR="00CB614D" w:rsidRDefault="00A41902" w:rsidP="00A41902">
      <w:pPr>
        <w:ind w:left="360"/>
        <w:rPr>
          <w:rFonts w:ascii="Arial" w:hAnsi="Arial" w:cs="Arial"/>
        </w:rPr>
      </w:pPr>
      <w:r w:rsidRPr="00016749">
        <w:rPr>
          <w:rFonts w:ascii="Arial" w:hAnsi="Arial" w:cs="Arial"/>
        </w:rPr>
        <w:t xml:space="preserve">(3) Bei einer juristischen Person oder Personenvereinigung mit einem durchschnittlichen Jahresumsatz von mehr als 400 Millionen Euro kann abweichend von Absatz 2 Satz 2 in Verbindung mit Satz 1 Nummer 1 Buchstabe b eine Ordnungswidrigkeit nach Absatz 1 Anlage 12 – Eigenerklärung Lieferkettensorgfaltspflichtengesetz 3 Nummer 6 oder 7 Buchstabe a mit einer Geldbuße bis zu 2 Prozent des durchschnittlichen Jahresumsatzes geahndet werden. Bei der Ermittlung des durchschnittlichen Jahresumsatzes der juristischen Person oder Personenvereinigung ist der weltweite Umsatz aller natürlichen und juristischen Personen sowie aller Personenvereinigungen der letzten drei Geschäftsjahre, die der Behördenentscheidung vorausgehen, zugrunde zu legen, soweit diese Personen und Personenvereinigungen als wirtschaftliche Einheit operieren. Der durchschnittliche Jahresumsatz kann geschätzt werden. </w:t>
      </w:r>
    </w:p>
    <w:p w14:paraId="6F7477B8" w14:textId="77777777" w:rsidR="005048CA" w:rsidRDefault="00A41902" w:rsidP="00A41902">
      <w:pPr>
        <w:ind w:left="360"/>
        <w:rPr>
          <w:rFonts w:ascii="Arial" w:hAnsi="Arial" w:cs="Arial"/>
        </w:rPr>
      </w:pPr>
      <w:r w:rsidRPr="00016749">
        <w:rPr>
          <w:rFonts w:ascii="Arial" w:hAnsi="Arial" w:cs="Arial"/>
        </w:rPr>
        <w:t xml:space="preserve">(4) Grundlage für die Bemessung der Geldbuße bei juristischen Personen und Personenvereinigungen ist die Bedeutung der Ordnungswidrigkeit. Bei der Bemessung sind die wirtschaftlichen Verhältnisse der juristischen Person oder Personenvereinigung zu berücksichtigen. Bei der Bemessung sind die Umstände, insoweit sie für und gegen die juristische Person oder Personenvereinigung sprechen, gegeneinander abzuwägen. Dabei kommen insbesondere in Betracht: </w:t>
      </w:r>
    </w:p>
    <w:p w14:paraId="610CB8BC" w14:textId="36FFD97A" w:rsidR="005048CA" w:rsidRPr="00016749" w:rsidRDefault="00A41902" w:rsidP="00016749">
      <w:pPr>
        <w:pStyle w:val="Listenabsatz"/>
        <w:numPr>
          <w:ilvl w:val="0"/>
          <w:numId w:val="14"/>
        </w:numPr>
        <w:rPr>
          <w:rFonts w:ascii="Arial" w:hAnsi="Arial" w:cs="Arial"/>
        </w:rPr>
      </w:pPr>
      <w:r w:rsidRPr="00016749">
        <w:rPr>
          <w:rFonts w:ascii="Arial" w:hAnsi="Arial" w:cs="Arial"/>
        </w:rPr>
        <w:lastRenderedPageBreak/>
        <w:t xml:space="preserve">der Vorwurf, der den Täter der Ordnungswidrigkeit trifft, </w:t>
      </w:r>
    </w:p>
    <w:p w14:paraId="24C1C599" w14:textId="35036474" w:rsidR="005048CA" w:rsidRPr="00016749" w:rsidRDefault="00A41902" w:rsidP="00016749">
      <w:pPr>
        <w:pStyle w:val="Listenabsatz"/>
        <w:numPr>
          <w:ilvl w:val="0"/>
          <w:numId w:val="14"/>
        </w:numPr>
        <w:rPr>
          <w:rFonts w:ascii="Arial" w:hAnsi="Arial" w:cs="Arial"/>
        </w:rPr>
      </w:pPr>
      <w:r w:rsidRPr="00016749">
        <w:rPr>
          <w:rFonts w:ascii="Arial" w:hAnsi="Arial" w:cs="Arial"/>
        </w:rPr>
        <w:t xml:space="preserve">die Beweggründe und Ziele des Täters der Ordnungswidrigkeit, </w:t>
      </w:r>
    </w:p>
    <w:p w14:paraId="70D53B8E" w14:textId="7DA409EA" w:rsidR="005048CA" w:rsidRPr="00016749" w:rsidRDefault="00A41902" w:rsidP="00016749">
      <w:pPr>
        <w:pStyle w:val="Listenabsatz"/>
        <w:numPr>
          <w:ilvl w:val="0"/>
          <w:numId w:val="14"/>
        </w:numPr>
        <w:rPr>
          <w:rFonts w:ascii="Arial" w:hAnsi="Arial" w:cs="Arial"/>
        </w:rPr>
      </w:pPr>
      <w:r w:rsidRPr="00016749">
        <w:rPr>
          <w:rFonts w:ascii="Arial" w:hAnsi="Arial" w:cs="Arial"/>
        </w:rPr>
        <w:t xml:space="preserve">Gewicht, Ausmaß und Dauer der Ordnungswidrigkeit, </w:t>
      </w:r>
    </w:p>
    <w:p w14:paraId="2C7ABCB0" w14:textId="03564A69" w:rsidR="005048CA" w:rsidRPr="00016749" w:rsidRDefault="00A41902" w:rsidP="00016749">
      <w:pPr>
        <w:pStyle w:val="Listenabsatz"/>
        <w:numPr>
          <w:ilvl w:val="0"/>
          <w:numId w:val="14"/>
        </w:numPr>
        <w:rPr>
          <w:rFonts w:ascii="Arial" w:hAnsi="Arial" w:cs="Arial"/>
        </w:rPr>
      </w:pPr>
      <w:r w:rsidRPr="00016749">
        <w:rPr>
          <w:rFonts w:ascii="Arial" w:hAnsi="Arial" w:cs="Arial"/>
        </w:rPr>
        <w:t xml:space="preserve">Art der Ausführung der Ordnungswidrigkeit, insbesondere die Anzahl der Täter und deren Position in der juristischen Person oder Personenvereinigung, </w:t>
      </w:r>
    </w:p>
    <w:p w14:paraId="196E3965" w14:textId="540F448D" w:rsidR="005048CA" w:rsidRPr="00016749" w:rsidRDefault="00A41902" w:rsidP="00016749">
      <w:pPr>
        <w:pStyle w:val="Listenabsatz"/>
        <w:numPr>
          <w:ilvl w:val="0"/>
          <w:numId w:val="14"/>
        </w:numPr>
        <w:rPr>
          <w:rFonts w:ascii="Arial" w:hAnsi="Arial" w:cs="Arial"/>
        </w:rPr>
      </w:pPr>
      <w:r w:rsidRPr="00016749">
        <w:rPr>
          <w:rFonts w:ascii="Arial" w:hAnsi="Arial" w:cs="Arial"/>
        </w:rPr>
        <w:t xml:space="preserve">die Auswirkungen der Ordnungswidrigkeit, </w:t>
      </w:r>
    </w:p>
    <w:p w14:paraId="10B96FB7" w14:textId="463C2B60" w:rsidR="005048CA" w:rsidRPr="00016749" w:rsidRDefault="00A41902" w:rsidP="00016749">
      <w:pPr>
        <w:pStyle w:val="Listenabsatz"/>
        <w:numPr>
          <w:ilvl w:val="0"/>
          <w:numId w:val="14"/>
        </w:numPr>
        <w:rPr>
          <w:rFonts w:ascii="Arial" w:hAnsi="Arial" w:cs="Arial"/>
        </w:rPr>
      </w:pPr>
      <w:r w:rsidRPr="00016749">
        <w:rPr>
          <w:rFonts w:ascii="Arial" w:hAnsi="Arial" w:cs="Arial"/>
        </w:rPr>
        <w:t xml:space="preserve">vorausgegangene Ordnungswidrigkeiten, für die die juristische Person oder Personenvereinigung nach § 30 des Gesetzes über Ordnungswidrigkeiten, auch in Verbindung mit § 130 des Gesetzes über Ordnungswidrigkeiten, verantwortlich ist, sowie vor der Ordnungswidrigkeit getroffene Vorkehrungen zur Vermeidung und Aufdeckung von Ordnungswidrigkeiten, </w:t>
      </w:r>
    </w:p>
    <w:p w14:paraId="19D7E6AA" w14:textId="24C3E0FB" w:rsidR="005048CA" w:rsidRPr="00016749" w:rsidRDefault="00A41902" w:rsidP="00016749">
      <w:pPr>
        <w:pStyle w:val="Listenabsatz"/>
        <w:numPr>
          <w:ilvl w:val="0"/>
          <w:numId w:val="14"/>
        </w:numPr>
        <w:rPr>
          <w:rFonts w:ascii="Arial" w:hAnsi="Arial" w:cs="Arial"/>
        </w:rPr>
      </w:pPr>
      <w:r w:rsidRPr="00016749">
        <w:rPr>
          <w:rFonts w:ascii="Arial" w:hAnsi="Arial" w:cs="Arial"/>
        </w:rPr>
        <w:t xml:space="preserve">das Bemühen der juristischen Person oder Personenvereinigung, die Ordnungswidrigkeit aufzudecken und den Schaden wiedergutzumachen, sowie nach der Ordnungswidrigkeit getroffene Vorkehrungen zur Vermeidung und Aufdeckung von Ordnungswidrigkeiten, </w:t>
      </w:r>
    </w:p>
    <w:p w14:paraId="2ADBD74E" w14:textId="57C51EA6" w:rsidR="005048CA" w:rsidRPr="00016749" w:rsidRDefault="00A41902" w:rsidP="00016749">
      <w:pPr>
        <w:pStyle w:val="Listenabsatz"/>
        <w:numPr>
          <w:ilvl w:val="0"/>
          <w:numId w:val="14"/>
        </w:numPr>
        <w:rPr>
          <w:rFonts w:ascii="Arial" w:hAnsi="Arial" w:cs="Arial"/>
        </w:rPr>
      </w:pPr>
      <w:r w:rsidRPr="00016749">
        <w:rPr>
          <w:rFonts w:ascii="Arial" w:hAnsi="Arial" w:cs="Arial"/>
        </w:rPr>
        <w:t xml:space="preserve">die Folgen der Ordnungswidrigkeit, die die juristische Person oder Personenvereinigung getroffen haben. </w:t>
      </w:r>
    </w:p>
    <w:p w14:paraId="74A2C3E4" w14:textId="77777777" w:rsidR="00F61307" w:rsidRDefault="00A41902" w:rsidP="00A41902">
      <w:pPr>
        <w:ind w:left="360"/>
        <w:rPr>
          <w:rFonts w:ascii="Arial" w:hAnsi="Arial" w:cs="Arial"/>
        </w:rPr>
      </w:pPr>
      <w:r w:rsidRPr="00016749">
        <w:rPr>
          <w:rFonts w:ascii="Arial" w:hAnsi="Arial" w:cs="Arial"/>
        </w:rPr>
        <w:t xml:space="preserve">(5) Verwaltungsbehörde im Sinne des § 36 Absatz 1 Nummer 1 des Gesetzes über Ordnungswidrigkeiten ist das Bundesamt für Wirtschaft und Ausfuhrkontrolle. Für die Rechts- und Fachaufsicht über das Bundesamt gilt § 19 Absatz 1 Satz 2 und 3. </w:t>
      </w:r>
    </w:p>
    <w:p w14:paraId="6DC4083F" w14:textId="77777777" w:rsidR="00F61307" w:rsidRDefault="00F61307" w:rsidP="00A41902">
      <w:pPr>
        <w:ind w:left="360"/>
        <w:rPr>
          <w:rFonts w:ascii="Arial" w:hAnsi="Arial" w:cs="Arial"/>
        </w:rPr>
      </w:pPr>
    </w:p>
    <w:p w14:paraId="7E383D00" w14:textId="77777777" w:rsidR="00F61307" w:rsidRDefault="00A41902" w:rsidP="00A41902">
      <w:pPr>
        <w:ind w:left="360"/>
        <w:rPr>
          <w:rFonts w:ascii="Arial" w:hAnsi="Arial" w:cs="Arial"/>
        </w:rPr>
      </w:pPr>
      <w:r w:rsidRPr="00016749">
        <w:rPr>
          <w:rFonts w:ascii="Arial" w:hAnsi="Arial" w:cs="Arial"/>
        </w:rPr>
        <w:t xml:space="preserve">____________________________________ </w:t>
      </w:r>
    </w:p>
    <w:p w14:paraId="1A326C58" w14:textId="3F56C109" w:rsidR="00F61307" w:rsidRDefault="00A41902" w:rsidP="00A41902">
      <w:pPr>
        <w:ind w:left="360"/>
        <w:rPr>
          <w:rFonts w:ascii="Arial" w:hAnsi="Arial" w:cs="Arial"/>
        </w:rPr>
      </w:pPr>
      <w:r w:rsidRPr="00016749">
        <w:rPr>
          <w:rFonts w:ascii="Arial" w:hAnsi="Arial" w:cs="Arial"/>
        </w:rPr>
        <w:t xml:space="preserve">Ort, Datum </w:t>
      </w:r>
    </w:p>
    <w:p w14:paraId="0008777B" w14:textId="77777777" w:rsidR="00F61307" w:rsidRDefault="00F61307" w:rsidP="00A41902">
      <w:pPr>
        <w:ind w:left="360"/>
        <w:rPr>
          <w:rFonts w:ascii="Arial" w:hAnsi="Arial" w:cs="Arial"/>
        </w:rPr>
      </w:pPr>
    </w:p>
    <w:p w14:paraId="6C7002B5" w14:textId="77777777" w:rsidR="00F61307" w:rsidRDefault="00A41902" w:rsidP="00A41902">
      <w:pPr>
        <w:ind w:left="360"/>
        <w:rPr>
          <w:rFonts w:ascii="Arial" w:hAnsi="Arial" w:cs="Arial"/>
        </w:rPr>
      </w:pPr>
      <w:r w:rsidRPr="00016749">
        <w:rPr>
          <w:rFonts w:ascii="Arial" w:hAnsi="Arial" w:cs="Arial"/>
        </w:rPr>
        <w:t xml:space="preserve">___________________________________________________________________ </w:t>
      </w:r>
    </w:p>
    <w:p w14:paraId="72AF7088" w14:textId="599972CA" w:rsidR="00DA3094" w:rsidRPr="00016749" w:rsidRDefault="00A41902" w:rsidP="00A41902">
      <w:pPr>
        <w:ind w:left="360"/>
        <w:rPr>
          <w:rFonts w:ascii="Arial" w:hAnsi="Arial" w:cs="Arial"/>
          <w:bCs/>
          <w:szCs w:val="20"/>
        </w:rPr>
      </w:pPr>
      <w:r w:rsidRPr="00016749">
        <w:rPr>
          <w:rFonts w:ascii="Arial" w:hAnsi="Arial" w:cs="Arial"/>
        </w:rPr>
        <w:t>Person(en), die die Erklärung abgibt/abgeben, in Textform</w:t>
      </w:r>
    </w:p>
    <w:sectPr w:rsidR="00DA3094" w:rsidRPr="00016749" w:rsidSect="00FF6116">
      <w:headerReference w:type="default" r:id="rId11"/>
      <w:footerReference w:type="default" r:id="rId12"/>
      <w:head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C73C97" w14:textId="77777777" w:rsidR="00736C3D" w:rsidRDefault="00736C3D" w:rsidP="00127DC9">
      <w:pPr>
        <w:spacing w:after="0" w:line="240" w:lineRule="auto"/>
      </w:pPr>
      <w:r>
        <w:separator/>
      </w:r>
    </w:p>
  </w:endnote>
  <w:endnote w:type="continuationSeparator" w:id="0">
    <w:p w14:paraId="3CC14DC2" w14:textId="77777777" w:rsidR="00736C3D" w:rsidRDefault="00736C3D" w:rsidP="00127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52E403" w14:textId="0C99CBF8" w:rsidR="00B421BB" w:rsidRDefault="00995FB5">
    <w:pPr>
      <w:pStyle w:val="Fuzeile"/>
      <w:rPr>
        <w:sz w:val="14"/>
        <w:szCs w:val="18"/>
      </w:rPr>
    </w:pPr>
    <w:r>
      <w:rPr>
        <w:sz w:val="14"/>
        <w:szCs w:val="18"/>
      </w:rPr>
      <w:t>Kreisklinikum Siegen GmbH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2D500D" w14:textId="77777777" w:rsidR="00736C3D" w:rsidRDefault="00736C3D" w:rsidP="00127DC9">
      <w:pPr>
        <w:spacing w:after="0" w:line="240" w:lineRule="auto"/>
      </w:pPr>
      <w:r>
        <w:separator/>
      </w:r>
    </w:p>
  </w:footnote>
  <w:footnote w:type="continuationSeparator" w:id="0">
    <w:p w14:paraId="02E4AF37" w14:textId="77777777" w:rsidR="00736C3D" w:rsidRDefault="00736C3D" w:rsidP="00127D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80110E" w14:textId="2B99215B" w:rsidR="00127DC9" w:rsidRDefault="002A45A8">
    <w:pPr>
      <w:pStyle w:val="Kopfzeile"/>
    </w:pPr>
    <w:r>
      <w:rPr>
        <w:noProof/>
      </w:rPr>
      <w:drawing>
        <wp:anchor distT="0" distB="0" distL="114300" distR="114300" simplePos="0" relativeHeight="251658240" behindDoc="1" locked="0" layoutInCell="1" allowOverlap="1" wp14:anchorId="1985BEED" wp14:editId="66A598CC">
          <wp:simplePos x="0" y="0"/>
          <wp:positionH relativeFrom="column">
            <wp:posOffset>4622165</wp:posOffset>
          </wp:positionH>
          <wp:positionV relativeFrom="paragraph">
            <wp:posOffset>-111760</wp:posOffset>
          </wp:positionV>
          <wp:extent cx="1143635" cy="840740"/>
          <wp:effectExtent l="0" t="0" r="0" b="0"/>
          <wp:wrapTight wrapText="bothSides">
            <wp:wrapPolygon edited="0">
              <wp:start x="0" y="0"/>
              <wp:lineTo x="0" y="21208"/>
              <wp:lineTo x="21348" y="21208"/>
              <wp:lineTo x="21348" y="0"/>
              <wp:lineTo x="0" y="0"/>
            </wp:wrapPolygon>
          </wp:wrapTight>
          <wp:docPr id="8207086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708607" name="Grafik 820708607"/>
                  <pic:cNvPicPr/>
                </pic:nvPicPr>
                <pic:blipFill>
                  <a:blip r:embed="rId1">
                    <a:extLst>
                      <a:ext uri="{28A0092B-C50C-407E-A947-70E740481C1C}">
                        <a14:useLocalDpi xmlns:a14="http://schemas.microsoft.com/office/drawing/2010/main" val="0"/>
                      </a:ext>
                    </a:extLst>
                  </a:blip>
                  <a:stretch>
                    <a:fillRect/>
                  </a:stretch>
                </pic:blipFill>
                <pic:spPr>
                  <a:xfrm>
                    <a:off x="0" y="0"/>
                    <a:ext cx="1143635" cy="840740"/>
                  </a:xfrm>
                  <a:prstGeom prst="rect">
                    <a:avLst/>
                  </a:prstGeom>
                </pic:spPr>
              </pic:pic>
            </a:graphicData>
          </a:graphic>
          <wp14:sizeRelH relativeFrom="margin">
            <wp14:pctWidth>0</wp14:pctWidth>
          </wp14:sizeRelH>
          <wp14:sizeRelV relativeFrom="margin">
            <wp14:pctHeight>0</wp14:pctHeight>
          </wp14:sizeRelV>
        </wp:anchor>
      </w:drawing>
    </w:r>
  </w:p>
  <w:p w14:paraId="4D57F473" w14:textId="54BE824A" w:rsidR="00127DC9" w:rsidRDefault="00127D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74E892" w14:textId="6863AC8A" w:rsidR="00BA4827" w:rsidRDefault="00BA4827">
    <w:pPr>
      <w:pStyle w:val="Kopfzeile"/>
    </w:pPr>
    <w:r>
      <w:rPr>
        <w:noProof/>
      </w:rPr>
      <w:drawing>
        <wp:inline distT="0" distB="0" distL="0" distR="0" wp14:anchorId="52DF1BF3" wp14:editId="7991B563">
          <wp:extent cx="5760720" cy="895350"/>
          <wp:effectExtent l="0" t="0" r="0" b="0"/>
          <wp:docPr id="1320226595" name="Grafik 1" descr="Ein Bild, das Text, Screenshot,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756" name="Grafik 1" descr="Ein Bild, das Text, Screenshot, Schrift,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5760720" cy="895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F12F2C"/>
    <w:multiLevelType w:val="hybridMultilevel"/>
    <w:tmpl w:val="0D865258"/>
    <w:lvl w:ilvl="0" w:tplc="0407000F">
      <w:start w:val="1"/>
      <w:numFmt w:val="decimal"/>
      <w:lvlText w:val="%1."/>
      <w:lvlJc w:val="left"/>
      <w:pPr>
        <w:ind w:left="720" w:hanging="360"/>
      </w:pPr>
    </w:lvl>
    <w:lvl w:ilvl="1" w:tplc="801671A0">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A24F25"/>
    <w:multiLevelType w:val="hybridMultilevel"/>
    <w:tmpl w:val="EC9234E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D802BB3"/>
    <w:multiLevelType w:val="hybridMultilevel"/>
    <w:tmpl w:val="325C4972"/>
    <w:lvl w:ilvl="0" w:tplc="040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14A64BCE"/>
    <w:multiLevelType w:val="hybridMultilevel"/>
    <w:tmpl w:val="E58A62D6"/>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1A32D5C"/>
    <w:multiLevelType w:val="hybridMultilevel"/>
    <w:tmpl w:val="D5689D08"/>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34F72691"/>
    <w:multiLevelType w:val="hybridMultilevel"/>
    <w:tmpl w:val="88EC608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3CB12030"/>
    <w:multiLevelType w:val="hybridMultilevel"/>
    <w:tmpl w:val="0EC4C5C6"/>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7" w15:restartNumberingAfterBreak="0">
    <w:nsid w:val="3D5366AB"/>
    <w:multiLevelType w:val="hybridMultilevel"/>
    <w:tmpl w:val="80C0DF3C"/>
    <w:lvl w:ilvl="0" w:tplc="7C10F5C8">
      <w:start w:val="1"/>
      <w:numFmt w:val="upp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8D10C5"/>
    <w:multiLevelType w:val="hybridMultilevel"/>
    <w:tmpl w:val="F00ECD6A"/>
    <w:lvl w:ilvl="0" w:tplc="934680E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343849"/>
    <w:multiLevelType w:val="hybridMultilevel"/>
    <w:tmpl w:val="25F80628"/>
    <w:lvl w:ilvl="0" w:tplc="AAAE6CAC">
      <w:start w:val="1"/>
      <w:numFmt w:val="bullet"/>
      <w:lvlText w:val="⃣"/>
      <w:lvlJc w:val="left"/>
      <w:pPr>
        <w:ind w:left="1068" w:hanging="360"/>
      </w:pPr>
      <w:rPr>
        <w:rFonts w:ascii="Tahoma" w:hAnsi="Tahoma"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51B26B27"/>
    <w:multiLevelType w:val="hybridMultilevel"/>
    <w:tmpl w:val="55FAE5C2"/>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1" w15:restartNumberingAfterBreak="0">
    <w:nsid w:val="5B3E319E"/>
    <w:multiLevelType w:val="hybridMultilevel"/>
    <w:tmpl w:val="DCD8F79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6132193"/>
    <w:multiLevelType w:val="hybridMultilevel"/>
    <w:tmpl w:val="1CD43B84"/>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6980FBA"/>
    <w:multiLevelType w:val="hybridMultilevel"/>
    <w:tmpl w:val="4C9EE3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41379358">
    <w:abstractNumId w:val="7"/>
  </w:num>
  <w:num w:numId="2" w16cid:durableId="1128357899">
    <w:abstractNumId w:val="8"/>
  </w:num>
  <w:num w:numId="3" w16cid:durableId="799810202">
    <w:abstractNumId w:val="12"/>
  </w:num>
  <w:num w:numId="4" w16cid:durableId="1508327256">
    <w:abstractNumId w:val="9"/>
  </w:num>
  <w:num w:numId="5" w16cid:durableId="46269797">
    <w:abstractNumId w:val="5"/>
  </w:num>
  <w:num w:numId="6" w16cid:durableId="172689171">
    <w:abstractNumId w:val="13"/>
  </w:num>
  <w:num w:numId="7" w16cid:durableId="1011033440">
    <w:abstractNumId w:val="2"/>
  </w:num>
  <w:num w:numId="8" w16cid:durableId="1364163389">
    <w:abstractNumId w:val="3"/>
  </w:num>
  <w:num w:numId="9" w16cid:durableId="1676608425">
    <w:abstractNumId w:val="10"/>
  </w:num>
  <w:num w:numId="10" w16cid:durableId="1998876385">
    <w:abstractNumId w:val="1"/>
  </w:num>
  <w:num w:numId="11" w16cid:durableId="1855417284">
    <w:abstractNumId w:val="6"/>
  </w:num>
  <w:num w:numId="12" w16cid:durableId="293027140">
    <w:abstractNumId w:val="0"/>
  </w:num>
  <w:num w:numId="13" w16cid:durableId="1735229215">
    <w:abstractNumId w:val="4"/>
  </w:num>
  <w:num w:numId="14" w16cid:durableId="140999023">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DC9"/>
    <w:rsid w:val="00016749"/>
    <w:rsid w:val="00041FCE"/>
    <w:rsid w:val="00042B5E"/>
    <w:rsid w:val="00057B26"/>
    <w:rsid w:val="00061C0F"/>
    <w:rsid w:val="000B44D5"/>
    <w:rsid w:val="000E499A"/>
    <w:rsid w:val="00127DC9"/>
    <w:rsid w:val="001572B9"/>
    <w:rsid w:val="00166EF5"/>
    <w:rsid w:val="00187C7D"/>
    <w:rsid w:val="00197FA3"/>
    <w:rsid w:val="001B6646"/>
    <w:rsid w:val="001D16DA"/>
    <w:rsid w:val="00230A3E"/>
    <w:rsid w:val="0023299B"/>
    <w:rsid w:val="002710A0"/>
    <w:rsid w:val="00293C27"/>
    <w:rsid w:val="002A035D"/>
    <w:rsid w:val="002A09C5"/>
    <w:rsid w:val="002A0CA6"/>
    <w:rsid w:val="002A0E65"/>
    <w:rsid w:val="002A2323"/>
    <w:rsid w:val="002A45A8"/>
    <w:rsid w:val="002E1A44"/>
    <w:rsid w:val="002F2D28"/>
    <w:rsid w:val="003325F3"/>
    <w:rsid w:val="003B2CA3"/>
    <w:rsid w:val="003E5608"/>
    <w:rsid w:val="004109BB"/>
    <w:rsid w:val="004263D3"/>
    <w:rsid w:val="00487586"/>
    <w:rsid w:val="00491057"/>
    <w:rsid w:val="004C0A07"/>
    <w:rsid w:val="004D36B3"/>
    <w:rsid w:val="00502060"/>
    <w:rsid w:val="005048CA"/>
    <w:rsid w:val="00514496"/>
    <w:rsid w:val="00581475"/>
    <w:rsid w:val="005F06BD"/>
    <w:rsid w:val="005F2A3C"/>
    <w:rsid w:val="00690180"/>
    <w:rsid w:val="006A646D"/>
    <w:rsid w:val="006C4182"/>
    <w:rsid w:val="006D008C"/>
    <w:rsid w:val="006D2596"/>
    <w:rsid w:val="006F16F5"/>
    <w:rsid w:val="00702042"/>
    <w:rsid w:val="00724962"/>
    <w:rsid w:val="00725D5D"/>
    <w:rsid w:val="00736C3D"/>
    <w:rsid w:val="00742D6F"/>
    <w:rsid w:val="007850CB"/>
    <w:rsid w:val="00790ABA"/>
    <w:rsid w:val="007B6EC0"/>
    <w:rsid w:val="007C09A9"/>
    <w:rsid w:val="007C29F0"/>
    <w:rsid w:val="007E495E"/>
    <w:rsid w:val="00814D6E"/>
    <w:rsid w:val="00837B53"/>
    <w:rsid w:val="00861F85"/>
    <w:rsid w:val="008A2F7F"/>
    <w:rsid w:val="008A6BBB"/>
    <w:rsid w:val="008D5446"/>
    <w:rsid w:val="008D5E95"/>
    <w:rsid w:val="00905CAC"/>
    <w:rsid w:val="00911F5D"/>
    <w:rsid w:val="00937E85"/>
    <w:rsid w:val="009706D7"/>
    <w:rsid w:val="00995FB5"/>
    <w:rsid w:val="009C4163"/>
    <w:rsid w:val="00A00113"/>
    <w:rsid w:val="00A07255"/>
    <w:rsid w:val="00A34702"/>
    <w:rsid w:val="00A41902"/>
    <w:rsid w:val="00A44FBC"/>
    <w:rsid w:val="00A4762F"/>
    <w:rsid w:val="00A56010"/>
    <w:rsid w:val="00A71152"/>
    <w:rsid w:val="00A848BA"/>
    <w:rsid w:val="00AB24E6"/>
    <w:rsid w:val="00AC68F5"/>
    <w:rsid w:val="00AD050B"/>
    <w:rsid w:val="00B37795"/>
    <w:rsid w:val="00B421BB"/>
    <w:rsid w:val="00B57181"/>
    <w:rsid w:val="00B76E75"/>
    <w:rsid w:val="00BA15AA"/>
    <w:rsid w:val="00BA4827"/>
    <w:rsid w:val="00BE1553"/>
    <w:rsid w:val="00C52D6F"/>
    <w:rsid w:val="00C83B26"/>
    <w:rsid w:val="00CB614D"/>
    <w:rsid w:val="00CD05D8"/>
    <w:rsid w:val="00D414B1"/>
    <w:rsid w:val="00D47910"/>
    <w:rsid w:val="00D66018"/>
    <w:rsid w:val="00D90D13"/>
    <w:rsid w:val="00DA3094"/>
    <w:rsid w:val="00DA3A10"/>
    <w:rsid w:val="00DA6C81"/>
    <w:rsid w:val="00DC781F"/>
    <w:rsid w:val="00DD62D0"/>
    <w:rsid w:val="00DF061A"/>
    <w:rsid w:val="00E52305"/>
    <w:rsid w:val="00E551C2"/>
    <w:rsid w:val="00E67EB5"/>
    <w:rsid w:val="00E90539"/>
    <w:rsid w:val="00EB2A46"/>
    <w:rsid w:val="00EB44DC"/>
    <w:rsid w:val="00EC1886"/>
    <w:rsid w:val="00F071D8"/>
    <w:rsid w:val="00F32A0D"/>
    <w:rsid w:val="00F5029F"/>
    <w:rsid w:val="00F61307"/>
    <w:rsid w:val="00FE2F8D"/>
    <w:rsid w:val="00FE7386"/>
    <w:rsid w:val="00FF61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0D514"/>
  <w15:chartTrackingRefBased/>
  <w15:docId w15:val="{9D47526C-0C86-44C0-BD95-DD2ADB61F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5CAC"/>
    <w:rPr>
      <w:rFonts w:ascii="Open Sans" w:hAnsi="Open Sans"/>
      <w:sz w:val="20"/>
    </w:rPr>
  </w:style>
  <w:style w:type="paragraph" w:styleId="berschrift1">
    <w:name w:val="heading 1"/>
    <w:basedOn w:val="Standard"/>
    <w:next w:val="Standard"/>
    <w:link w:val="berschrift1Zchn"/>
    <w:uiPriority w:val="9"/>
    <w:qFormat/>
    <w:rsid w:val="00127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27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27DC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27DC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27DC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27DC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27DC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27DC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27DC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27DC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27DC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27DC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27DC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27DC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27DC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27DC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27DC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27DC9"/>
    <w:rPr>
      <w:rFonts w:eastAsiaTheme="majorEastAsia" w:cstheme="majorBidi"/>
      <w:color w:val="272727" w:themeColor="text1" w:themeTint="D8"/>
    </w:rPr>
  </w:style>
  <w:style w:type="paragraph" w:styleId="Titel">
    <w:name w:val="Title"/>
    <w:basedOn w:val="Standard"/>
    <w:next w:val="Standard"/>
    <w:link w:val="TitelZchn"/>
    <w:uiPriority w:val="10"/>
    <w:qFormat/>
    <w:rsid w:val="00127D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27DC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27DC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27DC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27DC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27DC9"/>
    <w:rPr>
      <w:i/>
      <w:iCs/>
      <w:color w:val="404040" w:themeColor="text1" w:themeTint="BF"/>
    </w:rPr>
  </w:style>
  <w:style w:type="paragraph" w:styleId="Listenabsatz">
    <w:name w:val="List Paragraph"/>
    <w:basedOn w:val="Standard"/>
    <w:uiPriority w:val="34"/>
    <w:qFormat/>
    <w:rsid w:val="00127DC9"/>
    <w:pPr>
      <w:ind w:left="720"/>
      <w:contextualSpacing/>
    </w:pPr>
  </w:style>
  <w:style w:type="character" w:styleId="IntensiveHervorhebung">
    <w:name w:val="Intense Emphasis"/>
    <w:basedOn w:val="Absatz-Standardschriftart"/>
    <w:uiPriority w:val="21"/>
    <w:qFormat/>
    <w:rsid w:val="00127DC9"/>
    <w:rPr>
      <w:i/>
      <w:iCs/>
      <w:color w:val="0F4761" w:themeColor="accent1" w:themeShade="BF"/>
    </w:rPr>
  </w:style>
  <w:style w:type="paragraph" w:styleId="IntensivesZitat">
    <w:name w:val="Intense Quote"/>
    <w:basedOn w:val="Standard"/>
    <w:next w:val="Standard"/>
    <w:link w:val="IntensivesZitatZchn"/>
    <w:uiPriority w:val="30"/>
    <w:qFormat/>
    <w:rsid w:val="00127D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27DC9"/>
    <w:rPr>
      <w:i/>
      <w:iCs/>
      <w:color w:val="0F4761" w:themeColor="accent1" w:themeShade="BF"/>
    </w:rPr>
  </w:style>
  <w:style w:type="character" w:styleId="IntensiverVerweis">
    <w:name w:val="Intense Reference"/>
    <w:basedOn w:val="Absatz-Standardschriftart"/>
    <w:uiPriority w:val="32"/>
    <w:qFormat/>
    <w:rsid w:val="00127DC9"/>
    <w:rPr>
      <w:b/>
      <w:bCs/>
      <w:smallCaps/>
      <w:color w:val="0F4761" w:themeColor="accent1" w:themeShade="BF"/>
      <w:spacing w:val="5"/>
    </w:rPr>
  </w:style>
  <w:style w:type="paragraph" w:styleId="Kopfzeile">
    <w:name w:val="header"/>
    <w:basedOn w:val="Standard"/>
    <w:link w:val="KopfzeileZchn"/>
    <w:uiPriority w:val="99"/>
    <w:unhideWhenUsed/>
    <w:rsid w:val="00127DC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DC9"/>
  </w:style>
  <w:style w:type="paragraph" w:styleId="Fuzeile">
    <w:name w:val="footer"/>
    <w:basedOn w:val="Standard"/>
    <w:link w:val="FuzeileZchn"/>
    <w:uiPriority w:val="99"/>
    <w:unhideWhenUsed/>
    <w:rsid w:val="00127D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DC9"/>
  </w:style>
  <w:style w:type="table" w:styleId="Tabellenraster">
    <w:name w:val="Table Grid"/>
    <w:basedOn w:val="NormaleTabelle"/>
    <w:uiPriority w:val="39"/>
    <w:rsid w:val="00127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3299B"/>
    <w:rPr>
      <w:color w:val="666666"/>
    </w:rPr>
  </w:style>
  <w:style w:type="paragraph" w:styleId="berarbeitung">
    <w:name w:val="Revision"/>
    <w:hidden/>
    <w:uiPriority w:val="99"/>
    <w:semiHidden/>
    <w:rsid w:val="00814D6E"/>
    <w:pPr>
      <w:spacing w:after="0" w:line="240" w:lineRule="auto"/>
    </w:pPr>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2ff65d3cbacd946fbd40475a4cb4e984">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a404b7041451de748df48c0bb99e88af"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2A41B-091A-49B3-9930-DBA8E8382B2D}">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customXml/itemProps2.xml><?xml version="1.0" encoding="utf-8"?>
<ds:datastoreItem xmlns:ds="http://schemas.openxmlformats.org/officeDocument/2006/customXml" ds:itemID="{CB1B18F6-6CB3-4203-9378-B1C734EECBE5}">
  <ds:schemaRefs>
    <ds:schemaRef ds:uri="http://schemas.microsoft.com/sharepoint/v3/contenttype/forms"/>
  </ds:schemaRefs>
</ds:datastoreItem>
</file>

<file path=customXml/itemProps3.xml><?xml version="1.0" encoding="utf-8"?>
<ds:datastoreItem xmlns:ds="http://schemas.openxmlformats.org/officeDocument/2006/customXml" ds:itemID="{87769BA2-45D9-4D37-B05B-895664CB6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6d8ec-14ef-4610-b833-d261a401477d"/>
    <ds:schemaRef ds:uri="c9bc77f4-c76a-4b95-a278-f800d00b6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E06CB-3447-411D-A849-B3F366846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1038</Words>
  <Characters>6119</Characters>
  <Application>Microsoft Office Word</Application>
  <DocSecurity>0</DocSecurity>
  <Lines>115</Lines>
  <Paragraphs>54</Paragraphs>
  <ScaleCrop>false</ScaleCrop>
  <HeadingPairs>
    <vt:vector size="2" baseType="variant">
      <vt:variant>
        <vt:lpstr>Titel</vt:lpstr>
      </vt:variant>
      <vt:variant>
        <vt:i4>1</vt:i4>
      </vt:variant>
    </vt:vector>
  </HeadingPairs>
  <TitlesOfParts>
    <vt:vector size="1" baseType="lpstr">
      <vt:lpstr>IT-Sicherheitspaket mit Hornet 365 Total Protection inkl. Service und Support</vt:lpstr>
    </vt:vector>
  </TitlesOfParts>
  <Manager/>
  <Company/>
  <LinksUpToDate>false</LinksUpToDate>
  <CharactersWithSpaces>7155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Andreas Fastenau</cp:lastModifiedBy>
  <cp:revision>4</cp:revision>
  <dcterms:created xsi:type="dcterms:W3CDTF">2026-07-10T16:01:00Z</dcterms:created>
  <dcterms:modified xsi:type="dcterms:W3CDTF">2026-07-10T16:03:00Z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0x01010052537125C01A2143AABE1ED75086ECEB</vt:lpwstr>
  </property>
  <property fmtid="{D5CDD505-2E9C-101B-9397-08002B2CF9AE}" pid="3" name="MediaServiceImageTags">
    <vt:lpwstr/>
  </property>
</Properties>
</file>